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WellVibing — Observation Sheet (simplified)</w:t>
      </w:r>
    </w:p>
    <w:p>
      <w:r>
        <w:t>Version: June 2026. The sheet can also be filled digitally from the researcher dashboard (Experiment modal), which stamps episode times on the Phase 2 timer automatically.</w:t>
      </w:r>
    </w:p>
    <w:p>
      <w:r>
        <w:rPr>
          <w:b/>
        </w:rPr>
        <w:t>Design principle</w:t>
      </w:r>
      <w:r>
        <w:t xml:space="preserve"> — consistent with "frameworks operationalize the analysis, not the interview": the observer records behavior and visible affect only, never constructs. SDT and DWF mediator tags are applied post-hoc on the video by the coding team with the frozen codebook. This also keeps the sheet fillable in real time.</w:t>
      </w:r>
    </w:p>
    <w:p>
      <w:pPr>
        <w:pStyle w:val="Heading1"/>
      </w:pPr>
      <w:r>
        <w:t>Setup (before the coding session)</w:t>
      </w:r>
    </w:p>
    <w:p>
      <w:pPr>
        <w:pStyle w:val="ListBullet"/>
      </w:pPr>
      <w:r>
        <w:t>Zoom call on one display; observation sheet (dashboard or paper) on the other.</w:t>
      </w:r>
    </w:p>
    <w:p>
      <w:pPr>
        <w:pStyle w:val="ListBullet"/>
      </w:pPr>
      <w:r>
        <w:t>Start the local screen recording with macOS cmd+shift+5 on the Zoom display.</w:t>
      </w:r>
    </w:p>
    <w:p>
      <w:pPr>
        <w:pStyle w:val="ListBullet"/>
      </w:pPr>
      <w:r>
        <w:t>When the participant finishes the pre-questionnaire, the dashboard's Start coding button activates: press it at the same moment you start the screen recording. One clock: t = position in the recording, no offsets. On paper, start a stopwatch together with the recording and read t from it.</w:t>
      </w:r>
    </w:p>
    <w:p>
      <w:pPr>
        <w:pStyle w:val="Heading1"/>
      </w:pPr>
      <w:r>
        <w:t>Real-time log (one row per episode)</w:t>
      </w:r>
    </w:p>
    <w:p>
      <w:r>
        <w:t>Fill at low granularity; 5–10 rows in a 40-minute session is plenty. A row needs only t + type + a few words.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t</w:t>
            </w:r>
          </w:p>
        </w:tc>
        <w:tc>
          <w:tcPr>
            <w:tcW w:type="dxa" w:w="2160"/>
          </w:tcPr>
          <w:p>
            <w:r>
              <w:rPr>
                <w:b/>
              </w:rPr>
              <w:t>Type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Note (what happened + visible affect, one line)</w:t>
            </w:r>
          </w:p>
        </w:tc>
        <w:tc>
          <w:tcPr>
            <w:tcW w:type="dxa" w:w="2160"/>
          </w:tcPr>
          <w:p>
            <w:r>
              <w:rPr>
                <w:b/>
              </w:rPr>
              <w:t>SR?</w:t>
            </w:r>
          </w:p>
        </w:tc>
      </w:tr>
      <w:tr>
        <w:tc>
          <w:tcPr>
            <w:tcW w:type="dxa" w:w="2160"/>
          </w:tcPr>
          <w:p>
            <w:r>
              <w:t>00:14</w:t>
            </w:r>
          </w:p>
        </w:tc>
        <w:tc>
          <w:tcPr>
            <w:tcW w:type="dxa" w:w="2160"/>
          </w:tcPr>
          <w:p>
            <w:r>
              <w:t>D</w:t>
            </w:r>
          </w:p>
        </w:tc>
        <w:tc>
          <w:tcPr>
            <w:tcW w:type="dxa" w:w="2160"/>
          </w:tcPr>
          <w:p>
            <w:r>
              <w:t>hands off whole refactor, leans back, "let's see"</w:t>
            </w:r>
          </w:p>
        </w:tc>
        <w:tc>
          <w:tcPr>
            <w:tcW w:type="dxa" w:w="2160"/>
          </w:tcPr>
          <w:p>
            <w:r>
              <w:t>★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>
      <w:pPr>
        <w:pStyle w:val="Heading2"/>
      </w:pPr>
      <w:r>
        <w:t>Episode types (one letter)</w:t>
      </w:r>
    </w:p>
    <w:p>
      <w:pPr>
        <w:pStyle w:val="ListBullet"/>
      </w:pPr>
      <w:r>
        <w:rPr>
          <w:b/>
        </w:rPr>
        <w:t>D — Delegation</w:t>
      </w:r>
      <w:r>
        <w:t>: hands a task to the agent</w:t>
      </w:r>
    </w:p>
    <w:p>
      <w:pPr>
        <w:pStyle w:val="ListBullet"/>
      </w:pPr>
      <w:r>
        <w:rPr>
          <w:b/>
        </w:rPr>
        <w:t>W — Wait/supervision</w:t>
      </w:r>
      <w:r>
        <w:t>: watching or waiting while the agent works (note what the participant does meanwhile: reads along, switches to phone/other window, stares)</w:t>
      </w:r>
    </w:p>
    <w:p>
      <w:pPr>
        <w:pStyle w:val="ListBullet"/>
      </w:pPr>
      <w:r>
        <w:rPr>
          <w:b/>
        </w:rPr>
        <w:t>R — Review</w:t>
      </w:r>
      <w:r>
        <w:t>: reads/checks agent output</w:t>
      </w:r>
    </w:p>
    <w:p>
      <w:pPr>
        <w:pStyle w:val="ListBullet"/>
      </w:pPr>
      <w:r>
        <w:rPr>
          <w:b/>
        </w:rPr>
        <w:t>F — Fix/recovery</w:t>
      </w:r>
      <w:r>
        <w:t>: corrects, re-prompts, or repairs after agent error</w:t>
      </w:r>
    </w:p>
    <w:p>
      <w:pPr>
        <w:pStyle w:val="ListBullet"/>
      </w:pPr>
      <w:r>
        <w:rPr>
          <w:b/>
        </w:rPr>
        <w:t>O — Override</w:t>
      </w:r>
      <w:r>
        <w:t>: takes over and codes manually</w:t>
      </w:r>
    </w:p>
    <w:p>
      <w:pPr>
        <w:pStyle w:val="ListBullet"/>
      </w:pPr>
      <w:r>
        <w:rPr>
          <w:b/>
        </w:rPr>
        <w:t>B — Breakdown</w:t>
      </w:r>
      <w:r>
        <w:t>: visible failure, confusion, or friction moment</w:t>
      </w:r>
    </w:p>
    <w:p>
      <w:pPr>
        <w:pStyle w:val="Heading2"/>
      </w:pPr>
      <w:r>
        <w:t>Visible affect vocabulary for the note (keep it observational)</w:t>
      </w:r>
    </w:p>
    <w:p>
      <w:r>
        <w:t>sigh, laugh, swearing/utterance, leaning back/forward, rubbing face, long silence, smile, checks phone.</w:t>
      </w:r>
    </w:p>
    <w:p>
      <w:pPr>
        <w:pStyle w:val="Heading2"/>
      </w:pPr>
      <w:r>
        <w:t>SR column — stimulated-recall selection criteria (1–3 episodes, in order of priority)</w:t>
      </w:r>
    </w:p>
    <w:p>
      <w:pPr>
        <w:pStyle w:val="ListNumber"/>
      </w:pPr>
      <w:r>
        <w:rPr>
          <w:i w:val="0"/>
        </w:rPr>
        <w:t>noticeable affective shift</w:t>
      </w:r>
    </w:p>
    <w:p>
      <w:pPr>
        <w:pStyle w:val="ListNumber"/>
      </w:pPr>
      <w:r>
        <w:rPr>
          <w:i w:val="0"/>
        </w:rPr>
        <w:t>breakdown and/or recovery</w:t>
      </w:r>
    </w:p>
    <w:p>
      <w:pPr>
        <w:pStyle w:val="ListNumber"/>
      </w:pPr>
      <w:r>
        <w:rPr>
          <w:i w:val="0"/>
        </w:rPr>
        <w:t>surprising agent action</w:t>
      </w:r>
    </w:p>
    <w:p>
      <w:pPr>
        <w:pStyle w:val="ListNumber"/>
      </w:pPr>
      <w:r>
        <w:rPr>
          <w:i w:val="0"/>
        </w:rPr>
        <w:t>long supervision pause (especially with attention drifting away)</w:t>
      </w:r>
    </w:p>
    <w:p>
      <w:pPr>
        <w:pStyle w:val="ListNumber"/>
      </w:pPr>
      <w:r>
        <w:rPr>
          <w:i w:val="0"/>
        </w:rPr>
        <w:t>large or hesitant handoff</w:t>
      </w:r>
    </w:p>
    <w:p>
      <w:pPr>
        <w:pStyle w:val="Heading1"/>
      </w:pPr>
      <w:r>
        <w:t>Session notes</w:t>
      </w:r>
    </w:p>
    <w:p>
      <w:r>
        <w:t>Anything that does not belong to a single episode (anomalies, technical glitches, spontaneous wellbeing comments, overall impressions) goes into the free-text session notes, which the digital sheet stores with the participant and includes in the Word export. Episode counts and stimulated-recall stars are tracked automatically.</w:t>
      </w:r>
    </w:p>
    <w:p>
      <w:pPr>
        <w:pStyle w:val="Heading1"/>
      </w:pPr>
      <w:r>
        <w:t>Post-hoc deep coding (analysis phase, not during the session)</w:t>
      </w:r>
    </w:p>
    <w:p>
      <w:r>
        <w:t>On the video, the coding team applies: DWF mediator tags, SDT need satisfaction/frustration tags, oversight effort, fine-grained quotes. Requires the frozen codebook (operational mediator definitions + SDT inference rule), to be finalized right after the pilot and before double-coding — this is where inter-coder agreement lives.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Helvetica" w:hAnsi="Helvetic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